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D4" w:rsidRDefault="007077D4" w:rsidP="007077D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I</w:t>
      </w:r>
    </w:p>
    <w:p w:rsidR="007077D4" w:rsidRDefault="007077D4" w:rsidP="00D23B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32F7" w:rsidRPr="007077D4" w:rsidRDefault="00DB0FCB" w:rsidP="007077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ACORD</w:t>
      </w:r>
      <w:r w:rsidR="00346B25" w:rsidRPr="00E84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ÎNFRĂȚIRE</w:t>
      </w:r>
    </w:p>
    <w:p w:rsidR="00CB06B6" w:rsidRDefault="00CB06B6" w:rsidP="005D0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între</w:t>
      </w:r>
    </w:p>
    <w:p w:rsidR="00CB06B6" w:rsidRDefault="00CB06B6" w:rsidP="00CB0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</w:t>
      </w:r>
    </w:p>
    <w:p w:rsidR="00CB06B6" w:rsidRPr="00E84040" w:rsidRDefault="00CB06B6" w:rsidP="00CB0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040">
        <w:rPr>
          <w:rFonts w:ascii="Times New Roman" w:hAnsi="Times New Roman" w:cs="Times New Roman"/>
          <w:b/>
          <w:sz w:val="24"/>
          <w:szCs w:val="24"/>
          <w:lang w:val="ro-RO"/>
        </w:rPr>
        <w:t>BAIA MARE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Județul Maramureș</w:t>
      </w:r>
      <w:r w:rsidRPr="00E84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ROMÂNIA</w:t>
      </w:r>
    </w:p>
    <w:p w:rsidR="00CB06B6" w:rsidRPr="00E84040" w:rsidRDefault="00CB06B6" w:rsidP="005D0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</w:p>
    <w:p w:rsidR="00D23B6A" w:rsidRPr="007077D4" w:rsidRDefault="007077D4" w:rsidP="00CB0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7077D4">
        <w:rPr>
          <w:rFonts w:ascii="Times New Roman" w:hAnsi="Times New Roman" w:cs="Times New Roman"/>
          <w:b/>
          <w:sz w:val="24"/>
          <w:szCs w:val="24"/>
        </w:rPr>
        <w:t>Municipalitatea</w:t>
      </w:r>
      <w:proofErr w:type="spellEnd"/>
      <w:r w:rsidRPr="007077D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077D4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70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D4">
        <w:rPr>
          <w:rFonts w:ascii="Times New Roman" w:hAnsi="Times New Roman" w:cs="Times New Roman"/>
          <w:b/>
          <w:sz w:val="24"/>
          <w:szCs w:val="24"/>
        </w:rPr>
        <w:t>Sătesc</w:t>
      </w:r>
      <w:proofErr w:type="spellEnd"/>
      <w:r w:rsidRPr="0070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D4">
        <w:rPr>
          <w:rStyle w:val="Strong"/>
          <w:rFonts w:ascii="Times New Roman" w:hAnsi="Times New Roman" w:cs="Times New Roman"/>
          <w:sz w:val="24"/>
          <w:szCs w:val="24"/>
        </w:rPr>
        <w:t>Polianytska</w:t>
      </w:r>
      <w:proofErr w:type="spellEnd"/>
      <w:r w:rsidRPr="007077D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077D4">
        <w:rPr>
          <w:rFonts w:ascii="Times New Roman" w:hAnsi="Times New Roman" w:cs="Times New Roman"/>
          <w:b/>
          <w:sz w:val="24"/>
          <w:szCs w:val="24"/>
        </w:rPr>
        <w:t>raionul</w:t>
      </w:r>
      <w:proofErr w:type="spellEnd"/>
      <w:r w:rsidRPr="0070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D4">
        <w:rPr>
          <w:rStyle w:val="Strong"/>
          <w:rFonts w:ascii="Times New Roman" w:hAnsi="Times New Roman" w:cs="Times New Roman"/>
          <w:sz w:val="24"/>
          <w:szCs w:val="24"/>
        </w:rPr>
        <w:t>Nadvirna</w:t>
      </w:r>
      <w:proofErr w:type="spellEnd"/>
      <w:proofErr w:type="gramStart"/>
      <w:r w:rsidRPr="007077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077D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077D4">
        <w:rPr>
          <w:rFonts w:ascii="Times New Roman" w:hAnsi="Times New Roman" w:cs="Times New Roman"/>
          <w:b/>
          <w:sz w:val="24"/>
          <w:szCs w:val="24"/>
        </w:rPr>
        <w:t>regiunea</w:t>
      </w:r>
      <w:proofErr w:type="spellEnd"/>
      <w:r w:rsidRPr="0070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D4">
        <w:rPr>
          <w:rStyle w:val="Strong"/>
          <w:rFonts w:ascii="Times New Roman" w:hAnsi="Times New Roman" w:cs="Times New Roman"/>
          <w:sz w:val="24"/>
          <w:szCs w:val="24"/>
        </w:rPr>
        <w:t>Ivano-Frankivsk</w:t>
      </w:r>
      <w:proofErr w:type="spellEnd"/>
      <w:r w:rsidRPr="007077D4">
        <w:rPr>
          <w:rFonts w:ascii="Times New Roman" w:hAnsi="Times New Roman" w:cs="Times New Roman"/>
          <w:sz w:val="24"/>
          <w:szCs w:val="24"/>
        </w:rPr>
        <w:t xml:space="preserve">, </w:t>
      </w:r>
      <w:r w:rsidRPr="007077D4">
        <w:rPr>
          <w:rStyle w:val="Strong"/>
          <w:rFonts w:ascii="Times New Roman" w:hAnsi="Times New Roman" w:cs="Times New Roman"/>
          <w:sz w:val="24"/>
          <w:szCs w:val="24"/>
        </w:rPr>
        <w:t>UCRAINA</w:t>
      </w:r>
    </w:p>
    <w:p w:rsidR="00CB06B6" w:rsidRDefault="00CB06B6" w:rsidP="00CB0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32F7" w:rsidRPr="00CB06B6" w:rsidRDefault="006D32F7" w:rsidP="00CB0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6973" w:rsidRPr="00461492" w:rsidRDefault="00DB0FCB" w:rsidP="00461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>Având în vedere relațiile de prietenie și de cooperare între România și Ucraina bazate pe respect și sprijin reciproc în dif</w:t>
      </w:r>
      <w:r w:rsidR="00CA3CEF">
        <w:rPr>
          <w:rFonts w:ascii="Times New Roman" w:hAnsi="Times New Roman" w:cs="Times New Roman"/>
          <w:sz w:val="24"/>
          <w:szCs w:val="24"/>
          <w:lang w:val="ro-RO"/>
        </w:rPr>
        <w:t xml:space="preserve">erite domenii de interes comun, </w:t>
      </w:r>
      <w:r w:rsidR="00461492">
        <w:rPr>
          <w:rFonts w:ascii="Times New Roman" w:hAnsi="Times New Roman" w:cs="Times New Roman"/>
          <w:sz w:val="24"/>
          <w:szCs w:val="24"/>
          <w:lang w:val="ro-RO"/>
        </w:rPr>
        <w:t>Municipiul</w:t>
      </w:r>
      <w:r w:rsidR="00510BDC" w:rsidRPr="00D23B6A">
        <w:rPr>
          <w:rFonts w:ascii="Times New Roman" w:hAnsi="Times New Roman" w:cs="Times New Roman"/>
          <w:sz w:val="24"/>
          <w:szCs w:val="24"/>
          <w:lang w:val="ro-RO"/>
        </w:rPr>
        <w:t xml:space="preserve"> Baia Mare, jud</w:t>
      </w:r>
      <w:r w:rsidR="00461492">
        <w:rPr>
          <w:rFonts w:ascii="Times New Roman" w:hAnsi="Times New Roman" w:cs="Times New Roman"/>
          <w:sz w:val="24"/>
          <w:szCs w:val="24"/>
          <w:lang w:val="ro-RO"/>
        </w:rPr>
        <w:t xml:space="preserve">ețul Maramureș din România și </w:t>
      </w:r>
      <w:r w:rsidR="00461492" w:rsidRPr="00461492">
        <w:rPr>
          <w:rFonts w:ascii="Times New Roman" w:hAnsi="Times New Roman" w:cs="Times New Roman"/>
          <w:sz w:val="24"/>
          <w:szCs w:val="24"/>
          <w:lang w:val="ro-RO"/>
        </w:rPr>
        <w:t>Municipalitatea Consiliului Sătesc Polianytska, raionul Nadvirna, regiunea Ivano – Frankivsk din Ucraina</w:t>
      </w:r>
      <w:r w:rsidR="00510BDC" w:rsidRPr="00D23B6A">
        <w:rPr>
          <w:rFonts w:ascii="Times New Roman" w:hAnsi="Times New Roman" w:cs="Times New Roman"/>
          <w:sz w:val="24"/>
          <w:szCs w:val="24"/>
          <w:lang w:val="ro-RO"/>
        </w:rPr>
        <w:t>, denumite în continuare Părți</w:t>
      </w:r>
    </w:p>
    <w:p w:rsidR="00510BDC" w:rsidRPr="00D23B6A" w:rsidRDefault="00510BDC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6891" w:rsidRPr="00D23B6A" w:rsidRDefault="0006093C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>Au convenit următoarele:</w:t>
      </w:r>
    </w:p>
    <w:p w:rsidR="00C46973" w:rsidRPr="00D23B6A" w:rsidRDefault="00C46973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Articolul I</w:t>
      </w:r>
    </w:p>
    <w:p w:rsidR="00E84040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Obiective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Părțile vor coopera, în vederea creșterii capacității instituționale a autorităților publice locale din unitățile lor administrativ teritoriale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având ca obiectiv realizarea de parteneriate în diferite domenii de interes comun pentru dezvoltarea economică și socială a</w:t>
      </w:r>
      <w:r w:rsidR="009D11FE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comunităților locale pe care le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reprezintă.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Articolul II</w:t>
      </w:r>
    </w:p>
    <w:p w:rsidR="00E84040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Domenii de cooperare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4040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În baza principiilor cooperării bilaterale, a încrederii, egalității și avantajului reciproc, Părțile vor dezvolta relații de cooperare în următoarele domenii:</w:t>
      </w:r>
    </w:p>
    <w:p w:rsidR="00240BBA" w:rsidRPr="00D23B6A" w:rsidRDefault="00240BBA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D23B6A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1. Administrație publică;</w:t>
      </w:r>
    </w:p>
    <w:p w:rsid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2. Cultură și Sport;</w:t>
      </w:r>
    </w:p>
    <w:p w:rsidR="00D23B6A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lastRenderedPageBreak/>
        <w:t>3. Economie și turism;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4. Educație;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5. Mediu și sănătate publică;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6. Alte domenii de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cooperare de interes reciproc, potrivit atribuțiilor de care dispun în conformitate cu legislațiile în vigoare în statele</w:t>
      </w:r>
      <w:r w:rsidR="00510BDC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l</w:t>
      </w:r>
      <w:r w:rsidR="00CA3CEF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or, vor face obiectul unui Act A</w:t>
      </w:r>
      <w:r w:rsidR="00510BDC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dițional care se va încheia în aceleași condiții ca documentul de </w:t>
      </w:r>
      <w:r w:rsidR="00CA3CEF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cooperare </w:t>
      </w:r>
      <w:r w:rsidR="00510BDC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ale cărui clauze rămân neschimbate.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Articolul III</w:t>
      </w:r>
    </w:p>
    <w:p w:rsidR="00DB0FCB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Modalități de cooperare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B0FCB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>În conformitate cu competențele lor specifice, Părțile:</w:t>
      </w:r>
    </w:p>
    <w:p w:rsidR="00DB0FCB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>1. Vor dezvolta relații de prietenie și înțelegere reciprocă între locuitorii celor două comunități, contribuind astfel la prosperitatea acestora;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>2. Vor contribui la identificarea și exploatarea oportunităților de a realiza acțiuni comune în domeniile: economic, social, protecția mediului și turism, cultural, artistic și educațional;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CA3CEF">
        <w:rPr>
          <w:rFonts w:ascii="Times New Roman" w:hAnsi="Times New Roman" w:cs="Times New Roman"/>
          <w:sz w:val="24"/>
          <w:szCs w:val="24"/>
          <w:lang w:val="ro-RO"/>
        </w:rPr>
        <w:t xml:space="preserve">Vor sprijini organizarea de schimburi de experiență și de bune practici între delegațiile formate din specialiști și reprezentanți ai autorităților locale </w:t>
      </w:r>
      <w:r w:rsidRPr="00D23B6A">
        <w:rPr>
          <w:rFonts w:ascii="Times New Roman" w:hAnsi="Times New Roman" w:cs="Times New Roman"/>
          <w:sz w:val="24"/>
          <w:szCs w:val="24"/>
          <w:lang w:val="ro-RO"/>
        </w:rPr>
        <w:t>și vor elabora proiecte comune în domeniile  economic, social, protecția mediului și turism, cultural, artistic și educațional, să organizeze manifestări comune (festivaluri, expoziții, competiții sportive etc.);</w:t>
      </w:r>
    </w:p>
    <w:p w:rsidR="00E84040" w:rsidRPr="00D23B6A" w:rsidRDefault="00E84040" w:rsidP="00D23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4040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Articolul IV</w:t>
      </w:r>
    </w:p>
    <w:p w:rsid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Aspecte financiare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Părțile vor suporta în mod independent cheltuielile apărute în cursul implementării prezentului Acord de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Înfrățire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, în limitele </w:t>
      </w:r>
      <w:r w:rsidR="00CA3CEF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prevăzute de legislațiile în vigoare în statele lor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.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Articolul V</w:t>
      </w:r>
    </w:p>
    <w:p w:rsidR="00BD24B2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Soluționarea dezacordurilor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Orice </w:t>
      </w:r>
      <w:r w:rsidR="00510BDC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diferend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apărut cu privire la interpretarea sau aplicarea prezentului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Acord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de Înfrățire se va soluționa amiabil, de către Părți, pe calea negocierilor directe.</w:t>
      </w:r>
    </w:p>
    <w:p w:rsidR="00BD24B2" w:rsidRPr="00D23B6A" w:rsidRDefault="00BD24B2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CB06B6" w:rsidRPr="00D23B6A" w:rsidRDefault="00CB06B6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Articolul VI</w:t>
      </w:r>
    </w:p>
    <w:p w:rsidR="00CB06B6" w:rsidRDefault="00CB06B6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Coordonarea activităților de cooperare</w:t>
      </w:r>
    </w:p>
    <w:p w:rsidR="00D23B6A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</w:p>
    <w:p w:rsidR="00CB06B6" w:rsidRPr="00D23B6A" w:rsidRDefault="00D23B6A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Fiecare Parte va desemna un coordonator care va </w:t>
      </w:r>
      <w:r w:rsidR="00AE0BA4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urmări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implementarea eficientă a acestui Acord de Înfrățire. Coordonatorii desemnați de către Părți vor elabora un plan de implementare și vor propune acțiuni suplimentare care pot fi întreprinse de ambele părți.</w:t>
      </w:r>
    </w:p>
    <w:p w:rsidR="00CB06B6" w:rsidRPr="00D23B6A" w:rsidRDefault="00CB06B6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</w:p>
    <w:p w:rsidR="00510BDC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Articolul V</w:t>
      </w:r>
      <w:r w:rsidR="00510BDC"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I</w:t>
      </w:r>
      <w:r w:rsid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I</w:t>
      </w: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 xml:space="preserve">Modificarea </w:t>
      </w:r>
      <w:r w:rsidR="00DB0FCB"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Acordului</w:t>
      </w: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 xml:space="preserve"> de Înfrățire </w:t>
      </w: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Prezentul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Acord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de Înfrățire poate fi modificat sau completat în baza acordului reciproc, în scris, al Părților.</w:t>
      </w:r>
      <w:r w:rsidR="00510BDC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Modificările și completările </w:t>
      </w:r>
      <w:r w:rsidR="00AE0BA4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produc efecte de</w:t>
      </w:r>
      <w:r w:rsidR="00510BDC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la data semnării.</w:t>
      </w: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Articolul VII</w:t>
      </w:r>
      <w:r w:rsid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I</w:t>
      </w: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 xml:space="preserve">Aplicare, durată și </w:t>
      </w:r>
      <w:r w:rsidR="00DB0FCB" w:rsidRPr="00D23B6A">
        <w:rPr>
          <w:rFonts w:ascii="Times New Roman" w:hAnsi="Times New Roman" w:cs="Times New Roman"/>
          <w:b/>
          <w:color w:val="202124"/>
          <w:sz w:val="24"/>
          <w:szCs w:val="24"/>
          <w:lang w:val="ro-RO" w:eastAsia="ro-RO"/>
        </w:rPr>
        <w:t>denunțare</w:t>
      </w:r>
    </w:p>
    <w:p w:rsidR="00BD24B2" w:rsidRPr="00D23B6A" w:rsidRDefault="00BD24B2" w:rsidP="00D23B6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6D32F7" w:rsidRDefault="00BD24B2" w:rsidP="006D32F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1. Prezentul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Acord 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de Înfrățire este încheiat pe durată nedeterminată și pro</w:t>
      </w:r>
      <w:r w:rsidR="00240BB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duce efecte de la data semnării.</w:t>
      </w:r>
    </w:p>
    <w:p w:rsidR="006D32F7" w:rsidRDefault="00BD24B2" w:rsidP="006D32F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2. Oricare dintre părți poate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denunța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prezentul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Acord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de Înfrățire printr-o notificare scrisă adresată celeilalte Părți. În această situație, prezentul </w:t>
      </w:r>
      <w:r w:rsidR="00DB0FCB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Acordul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de Înfrățire își încetează valabilitatea începând cu cea de-a 30-a zi de la data notificării.</w:t>
      </w:r>
    </w:p>
    <w:p w:rsidR="00240BBA" w:rsidRDefault="005D0820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3. Încetarea prezentului </w:t>
      </w:r>
      <w:r w:rsidR="000E0E13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Acord 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de Înfrățire nu va afecta punerea în aplicare a programelor și proiectelor demarate în perioada de valabilitatea a acestuia, cu excepția cazului în care s-a convenit altfel de către Părți.</w:t>
      </w:r>
    </w:p>
    <w:p w:rsidR="006D32F7" w:rsidRDefault="006D32F7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6D32F7" w:rsidRDefault="006D32F7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6D32F7" w:rsidRPr="00D23B6A" w:rsidRDefault="006D32F7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BD24B2" w:rsidRPr="00D23B6A" w:rsidRDefault="005D0820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lastRenderedPageBreak/>
        <w:t xml:space="preserve">Semnat </w:t>
      </w:r>
      <w:r w:rsidR="001A76A6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la </w:t>
      </w:r>
      <w:r w:rsidR="00D15A71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.......</w:t>
      </w:r>
      <w:r w:rsidR="001A76A6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, la data de </w:t>
      </w:r>
      <w:r w:rsidR="00D15A71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.......</w:t>
      </w:r>
      <w:r w:rsidR="001A76A6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, </w:t>
      </w:r>
      <w:r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în dou</w:t>
      </w:r>
      <w:r w:rsidR="000E0E13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ă exemplare originale, </w:t>
      </w:r>
      <w:r w:rsidR="009D11FE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în limbile română,</w:t>
      </w:r>
      <w:r w:rsidR="00D15A71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ucraineană</w:t>
      </w:r>
      <w:r w:rsidR="009D11FE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și engleză,</w:t>
      </w:r>
      <w:r w:rsidR="000E0E13" w:rsidRPr="00D23B6A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to</w:t>
      </w:r>
      <w:r w:rsidR="00CA3CEF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ate textele fiind egal valabile</w:t>
      </w:r>
      <w:r w:rsidR="00F64344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. În caz de diferențe</w:t>
      </w:r>
      <w:r w:rsidR="009D11FE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de</w:t>
      </w:r>
      <w:r w:rsidR="00D15A71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 xml:space="preserve"> interpretare textul în limba en</w:t>
      </w:r>
      <w:r w:rsidR="009D11FE"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  <w:t>gleză va prevala.</w:t>
      </w:r>
    </w:p>
    <w:p w:rsidR="00436420" w:rsidRPr="00D23B6A" w:rsidRDefault="00436420" w:rsidP="00D23B6A">
      <w:p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CB06B6" w:rsidRPr="00D23B6A" w:rsidRDefault="00CB06B6" w:rsidP="00D23B6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  <w:sectPr w:rsidR="00CB06B6" w:rsidRPr="00D23B6A" w:rsidSect="006C242F">
          <w:headerReference w:type="default" r:id="rId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D11FE" w:rsidRDefault="00CB06B6" w:rsidP="00D23B6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Pentru </w:t>
      </w:r>
    </w:p>
    <w:p w:rsidR="00CB06B6" w:rsidRPr="00D23B6A" w:rsidRDefault="00CB06B6" w:rsidP="00D23B6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>Municipiul Baia Mare,</w:t>
      </w:r>
      <w:r w:rsidR="009D11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3B6A">
        <w:rPr>
          <w:rFonts w:ascii="Times New Roman" w:hAnsi="Times New Roman" w:cs="Times New Roman"/>
          <w:sz w:val="24"/>
          <w:szCs w:val="24"/>
          <w:lang w:val="ro-RO"/>
        </w:rPr>
        <w:t>Județul Maramureș</w:t>
      </w:r>
    </w:p>
    <w:p w:rsidR="00CB06B6" w:rsidRPr="00D23B6A" w:rsidRDefault="00CB06B6" w:rsidP="00D23B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t xml:space="preserve">din România  </w:t>
      </w: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CB06B6" w:rsidRPr="00D23B6A" w:rsidRDefault="00CB06B6" w:rsidP="00D23B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06B6" w:rsidRPr="00D23B6A" w:rsidRDefault="005D0FBC" w:rsidP="00D23B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CB06B6" w:rsidRPr="00D23B6A" w:rsidRDefault="00CB06B6" w:rsidP="00D23B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b/>
          <w:sz w:val="24"/>
          <w:szCs w:val="24"/>
          <w:lang w:val="ro-RO"/>
        </w:rPr>
        <w:t>Ioan Doru Dăncuș</w:t>
      </w:r>
    </w:p>
    <w:p w:rsidR="00BD24B2" w:rsidRPr="00D23B6A" w:rsidRDefault="00BD24B2" w:rsidP="00D23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B06B6" w:rsidRPr="00D23B6A" w:rsidRDefault="00CB06B6" w:rsidP="00D23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FE" w:rsidRDefault="00CB06B6" w:rsidP="009D11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23B6A">
        <w:rPr>
          <w:rFonts w:ascii="Times New Roman" w:hAnsi="Times New Roman" w:cs="Times New Roman"/>
          <w:sz w:val="24"/>
          <w:szCs w:val="24"/>
          <w:lang w:val="ro-RO"/>
        </w:rPr>
        <w:lastRenderedPageBreak/>
        <w:t>Pentru</w:t>
      </w:r>
    </w:p>
    <w:p w:rsidR="0019480F" w:rsidRDefault="009D11FE" w:rsidP="001948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B06B6" w:rsidRPr="00D23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77D4" w:rsidRPr="0019480F">
        <w:rPr>
          <w:rFonts w:ascii="Times New Roman" w:hAnsi="Times New Roman" w:cs="Times New Roman"/>
          <w:sz w:val="24"/>
          <w:szCs w:val="24"/>
          <w:lang w:val="ro-RO"/>
        </w:rPr>
        <w:t>Municipalitatea</w:t>
      </w:r>
      <w:r w:rsidR="007077D4" w:rsidRPr="0019480F">
        <w:rPr>
          <w:rFonts w:ascii="Times New Roman" w:hAnsi="Times New Roman" w:cs="Times New Roman"/>
          <w:sz w:val="24"/>
          <w:szCs w:val="24"/>
          <w:lang w:val="ro-RO"/>
        </w:rPr>
        <w:br/>
        <w:t xml:space="preserve">Consiliului Sătesc </w:t>
      </w:r>
      <w:r w:rsidR="007077D4" w:rsidRPr="0019480F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Polianytska</w:t>
      </w:r>
      <w:r w:rsidR="007077D4" w:rsidRPr="0019480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077D4" w:rsidRPr="0019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9480F" w:rsidRPr="0019480F" w:rsidRDefault="007077D4" w:rsidP="0019480F">
      <w:pPr>
        <w:spacing w:after="0" w:line="360" w:lineRule="auto"/>
        <w:jc w:val="right"/>
        <w:rPr>
          <w:rStyle w:val="Strong"/>
          <w:rFonts w:ascii="Times New Roman" w:hAnsi="Times New Roman" w:cs="Times New Roman"/>
          <w:bCs w:val="0"/>
          <w:sz w:val="24"/>
          <w:szCs w:val="24"/>
          <w:lang w:val="ro-RO"/>
        </w:rPr>
      </w:pPr>
      <w:r w:rsidRPr="0019480F">
        <w:rPr>
          <w:rFonts w:ascii="Times New Roman" w:hAnsi="Times New Roman" w:cs="Times New Roman"/>
          <w:sz w:val="24"/>
          <w:szCs w:val="24"/>
          <w:lang w:val="ro-RO"/>
        </w:rPr>
        <w:t>raionul</w:t>
      </w:r>
      <w:r w:rsidR="0019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480F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Nadvirna</w:t>
      </w:r>
      <w:r w:rsidRPr="0019480F">
        <w:rPr>
          <w:rFonts w:ascii="Times New Roman" w:hAnsi="Times New Roman" w:cs="Times New Roman"/>
          <w:sz w:val="24"/>
          <w:szCs w:val="24"/>
          <w:lang w:val="ro-RO"/>
        </w:rPr>
        <w:br/>
        <w:t xml:space="preserve">regiunea </w:t>
      </w:r>
      <w:r w:rsidRPr="0019480F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Ivano-Frankivsk</w:t>
      </w:r>
      <w:r w:rsidRPr="001948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19480F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UCRAINA</w:t>
      </w:r>
    </w:p>
    <w:p w:rsidR="00CB06B6" w:rsidRPr="00D23B6A" w:rsidRDefault="001165B4" w:rsidP="007077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CB06B6" w:rsidRPr="00D23B6A" w:rsidRDefault="005D0FBC" w:rsidP="00D23B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Mykola Polyak</w:t>
      </w:r>
      <w:r w:rsidR="00CB06B6" w:rsidRPr="00D23B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CB06B6" w:rsidRPr="00D23B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CB06B6" w:rsidRPr="00D23B6A" w:rsidRDefault="00CB06B6" w:rsidP="00D23B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B06B6" w:rsidRPr="00D23B6A" w:rsidRDefault="00CB06B6" w:rsidP="00D23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CB06B6" w:rsidRPr="00D23B6A" w:rsidSect="00CB06B6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CB06B6" w:rsidRPr="00D23B6A" w:rsidRDefault="00CB06B6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  <w:sectPr w:rsidR="00CB06B6" w:rsidRPr="00D23B6A" w:rsidSect="00CB06B6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346B25" w:rsidRPr="00436420" w:rsidRDefault="00436420" w:rsidP="00D23B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</w:t>
      </w:r>
    </w:p>
    <w:sectPr w:rsidR="00346B25" w:rsidRPr="00436420" w:rsidSect="0040277D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A0" w:rsidRDefault="004138A0" w:rsidP="00CD6ACA">
      <w:pPr>
        <w:spacing w:after="0" w:line="240" w:lineRule="auto"/>
      </w:pPr>
      <w:r>
        <w:separator/>
      </w:r>
    </w:p>
  </w:endnote>
  <w:endnote w:type="continuationSeparator" w:id="0">
    <w:p w:rsidR="004138A0" w:rsidRDefault="004138A0" w:rsidP="00CD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A0" w:rsidRDefault="004138A0" w:rsidP="00CD6ACA">
      <w:pPr>
        <w:spacing w:after="0" w:line="240" w:lineRule="auto"/>
      </w:pPr>
      <w:r>
        <w:separator/>
      </w:r>
    </w:p>
  </w:footnote>
  <w:footnote w:type="continuationSeparator" w:id="0">
    <w:p w:rsidR="004138A0" w:rsidRDefault="004138A0" w:rsidP="00CD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CA" w:rsidRDefault="00CD6ACA">
    <w:pPr>
      <w:pStyle w:val="Header"/>
    </w:pPr>
    <w:r>
      <w:t xml:space="preserve">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A82"/>
    <w:rsid w:val="0006093C"/>
    <w:rsid w:val="000C2180"/>
    <w:rsid w:val="000E03F9"/>
    <w:rsid w:val="000E0E13"/>
    <w:rsid w:val="001024D4"/>
    <w:rsid w:val="001165B4"/>
    <w:rsid w:val="001459CE"/>
    <w:rsid w:val="0019480F"/>
    <w:rsid w:val="001A76A6"/>
    <w:rsid w:val="001B1F67"/>
    <w:rsid w:val="001B7663"/>
    <w:rsid w:val="00207E66"/>
    <w:rsid w:val="00240BBA"/>
    <w:rsid w:val="00245847"/>
    <w:rsid w:val="002D2B0D"/>
    <w:rsid w:val="002D6809"/>
    <w:rsid w:val="00346B25"/>
    <w:rsid w:val="0040277D"/>
    <w:rsid w:val="004138A0"/>
    <w:rsid w:val="00436420"/>
    <w:rsid w:val="00461492"/>
    <w:rsid w:val="004A5EC0"/>
    <w:rsid w:val="004B561E"/>
    <w:rsid w:val="004B6891"/>
    <w:rsid w:val="00510BDC"/>
    <w:rsid w:val="00536D9C"/>
    <w:rsid w:val="00550AF8"/>
    <w:rsid w:val="005D0820"/>
    <w:rsid w:val="005D0FBC"/>
    <w:rsid w:val="00643748"/>
    <w:rsid w:val="00657228"/>
    <w:rsid w:val="00657D38"/>
    <w:rsid w:val="006C242F"/>
    <w:rsid w:val="006D32F7"/>
    <w:rsid w:val="007077D4"/>
    <w:rsid w:val="007536DB"/>
    <w:rsid w:val="007B6D68"/>
    <w:rsid w:val="007D40D5"/>
    <w:rsid w:val="00831D5C"/>
    <w:rsid w:val="00845874"/>
    <w:rsid w:val="008508AD"/>
    <w:rsid w:val="008C7521"/>
    <w:rsid w:val="009B7D2B"/>
    <w:rsid w:val="009C04F5"/>
    <w:rsid w:val="009D11FE"/>
    <w:rsid w:val="00AE0BA4"/>
    <w:rsid w:val="00AE17EE"/>
    <w:rsid w:val="00B0518A"/>
    <w:rsid w:val="00B617D8"/>
    <w:rsid w:val="00BD24B2"/>
    <w:rsid w:val="00C077E4"/>
    <w:rsid w:val="00C2244B"/>
    <w:rsid w:val="00C46973"/>
    <w:rsid w:val="00CA3CEF"/>
    <w:rsid w:val="00CB06B6"/>
    <w:rsid w:val="00CC11D1"/>
    <w:rsid w:val="00CD6ACA"/>
    <w:rsid w:val="00D15A71"/>
    <w:rsid w:val="00D23B6A"/>
    <w:rsid w:val="00D66DA3"/>
    <w:rsid w:val="00DB0FCB"/>
    <w:rsid w:val="00DB7861"/>
    <w:rsid w:val="00E33DB8"/>
    <w:rsid w:val="00E43733"/>
    <w:rsid w:val="00E84040"/>
    <w:rsid w:val="00EA5A82"/>
    <w:rsid w:val="00EF15B2"/>
    <w:rsid w:val="00F6262F"/>
    <w:rsid w:val="00F64344"/>
    <w:rsid w:val="00F72D6C"/>
    <w:rsid w:val="00F74318"/>
    <w:rsid w:val="00FF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ACA"/>
  </w:style>
  <w:style w:type="paragraph" w:styleId="Footer">
    <w:name w:val="footer"/>
    <w:basedOn w:val="Normal"/>
    <w:link w:val="FooterChar"/>
    <w:uiPriority w:val="99"/>
    <w:semiHidden/>
    <w:unhideWhenUsed/>
    <w:rsid w:val="00CD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ACA"/>
  </w:style>
  <w:style w:type="character" w:styleId="Strong">
    <w:name w:val="Strong"/>
    <w:basedOn w:val="DefaultParagraphFont"/>
    <w:uiPriority w:val="22"/>
    <w:qFormat/>
    <w:rsid w:val="00707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2025-11-12T08:48:00Z</cp:lastPrinted>
  <dcterms:created xsi:type="dcterms:W3CDTF">2025-07-21T06:27:00Z</dcterms:created>
  <dcterms:modified xsi:type="dcterms:W3CDTF">2025-11-12T08:49:00Z</dcterms:modified>
</cp:coreProperties>
</file>