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5D80" w14:textId="77777777" w:rsidR="00BE367F" w:rsidRPr="0096722E" w:rsidRDefault="00BE367F" w:rsidP="00BE367F">
      <w:pPr>
        <w:rPr>
          <w:b/>
          <w:sz w:val="28"/>
          <w:szCs w:val="28"/>
          <w:lang w:val="pt-BR"/>
        </w:rPr>
      </w:pPr>
    </w:p>
    <w:p w14:paraId="2D90FAFA" w14:textId="1A1E34DA" w:rsidR="00BE367F" w:rsidRPr="0096722E" w:rsidRDefault="00BE367F" w:rsidP="00BE367F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6722E">
        <w:rPr>
          <w:rFonts w:ascii="Times New Roman" w:hAnsi="Times New Roman" w:cs="Times New Roman"/>
          <w:b/>
          <w:sz w:val="28"/>
          <w:szCs w:val="28"/>
          <w:lang w:val="pt-BR"/>
        </w:rPr>
        <w:t>Anexa nr. 7 la Hotărârea Consilului Local nr. ____________________</w:t>
      </w:r>
    </w:p>
    <w:p w14:paraId="2DF9030B" w14:textId="77777777" w:rsidR="00BE367F" w:rsidRPr="0096722E" w:rsidRDefault="00BE367F" w:rsidP="00BE367F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44F675A4" w14:textId="77777777" w:rsidR="00BE367F" w:rsidRPr="0096722E" w:rsidRDefault="00BE367F" w:rsidP="00BE367F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6722E">
        <w:rPr>
          <w:rFonts w:ascii="Times New Roman" w:hAnsi="Times New Roman" w:cs="Times New Roman"/>
          <w:b/>
          <w:sz w:val="28"/>
          <w:szCs w:val="28"/>
          <w:lang w:val="pt-BR"/>
        </w:rPr>
        <w:t xml:space="preserve">Valoarea tarifelor și taxelor percepute de S.P.A.U. Baia Mare </w:t>
      </w:r>
      <w:r w:rsidRPr="009672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serviciile de tăiere arbori, </w:t>
      </w:r>
      <w:r w:rsidRPr="0096722E">
        <w:rPr>
          <w:rFonts w:ascii="Times New Roman" w:hAnsi="Times New Roman" w:cs="Times New Roman"/>
          <w:b/>
          <w:sz w:val="28"/>
          <w:szCs w:val="28"/>
          <w:lang w:val="pt-BR"/>
        </w:rPr>
        <w:t>taxă aviz zone verzi, Taxă închiriere pentru mese comerț stradal ocazional, preț bilet trenuleț</w:t>
      </w:r>
    </w:p>
    <w:tbl>
      <w:tblPr>
        <w:tblW w:w="9177" w:type="dxa"/>
        <w:tblInd w:w="177" w:type="dxa"/>
        <w:tblCellMar>
          <w:top w:w="27" w:type="dxa"/>
          <w:left w:w="99" w:type="dxa"/>
          <w:right w:w="97" w:type="dxa"/>
        </w:tblCellMar>
        <w:tblLook w:val="04A0" w:firstRow="1" w:lastRow="0" w:firstColumn="1" w:lastColumn="0" w:noHBand="0" w:noVBand="1"/>
      </w:tblPr>
      <w:tblGrid>
        <w:gridCol w:w="1710"/>
        <w:gridCol w:w="4950"/>
        <w:gridCol w:w="2517"/>
      </w:tblGrid>
      <w:tr w:rsidR="00BE367F" w:rsidRPr="00BE367F" w14:paraId="01C0DD06" w14:textId="77777777" w:rsidTr="00BE367F">
        <w:trPr>
          <w:trHeight w:val="72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0046" w14:textId="76633B80" w:rsidR="00BE367F" w:rsidRPr="0096722E" w:rsidRDefault="00BE367F" w:rsidP="00BE36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967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</w:t>
            </w:r>
            <w:proofErr w:type="spellEnd"/>
            <w:r w:rsidRPr="00967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0BFAB5" w14:textId="292E22E2" w:rsidR="00BE367F" w:rsidRPr="0096722E" w:rsidRDefault="00BE367F" w:rsidP="00BE36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ACTIVITATE/ SERVICIU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9DBB55" w14:textId="77777777" w:rsidR="00BE367F" w:rsidRPr="0096722E" w:rsidRDefault="00BE367F" w:rsidP="00BE36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VALOARE TARIF 2026</w:t>
            </w:r>
          </w:p>
          <w:p w14:paraId="7A2893F3" w14:textId="77777777" w:rsidR="00BE367F" w:rsidRPr="0096722E" w:rsidRDefault="00BE367F" w:rsidP="00BE36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Lei</w:t>
            </w:r>
          </w:p>
        </w:tc>
      </w:tr>
      <w:tr w:rsidR="00BE367F" w:rsidRPr="00BE367F" w14:paraId="59292B1F" w14:textId="77777777" w:rsidTr="00BE367F">
        <w:trPr>
          <w:trHeight w:val="518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E34BD" w14:textId="3AF6F0AE" w:rsidR="00BE367F" w:rsidRPr="00BE367F" w:rsidRDefault="00BE367F" w:rsidP="00BE367F">
            <w:pPr>
              <w:rPr>
                <w:lang w:val="pt-BR"/>
              </w:rPr>
            </w:pPr>
            <w:r>
              <w:rPr>
                <w:lang w:val="pt-BR"/>
              </w:rPr>
              <w:t>1.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EBD983" w14:textId="2FCB66A9" w:rsidR="00BE367F" w:rsidRPr="00BE367F" w:rsidRDefault="00BE367F" w:rsidP="00BE367F">
            <w:pPr>
              <w:rPr>
                <w:lang w:val="pt-BR"/>
              </w:rPr>
            </w:pPr>
            <w:r w:rsidRPr="00BE367F">
              <w:rPr>
                <w:lang w:val="pt-BR"/>
              </w:rPr>
              <w:t xml:space="preserve">Taxă aviz zone verzi ,pentru intervenții în zone verzi aflate </w:t>
            </w:r>
            <w:r>
              <w:rPr>
                <w:lang w:val="pt-BR"/>
              </w:rPr>
              <w:t>p</w:t>
            </w:r>
            <w:r w:rsidRPr="00BE367F">
              <w:rPr>
                <w:lang w:val="pt-BR"/>
              </w:rPr>
              <w:t xml:space="preserve">e domeniul </w:t>
            </w:r>
            <w:r>
              <w:rPr>
                <w:lang w:val="pt-BR"/>
              </w:rPr>
              <w:t>p</w:t>
            </w:r>
            <w:r w:rsidRPr="00BE367F">
              <w:rPr>
                <w:lang w:val="pt-BR"/>
              </w:rPr>
              <w:t>ublic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04687C" w14:textId="77777777" w:rsidR="00BE367F" w:rsidRPr="00BE367F" w:rsidRDefault="00BE367F" w:rsidP="00BE367F">
            <w:pPr>
              <w:jc w:val="center"/>
            </w:pPr>
            <w:r w:rsidRPr="00BE367F">
              <w:t>200</w:t>
            </w:r>
          </w:p>
        </w:tc>
      </w:tr>
      <w:tr w:rsidR="00BE367F" w:rsidRPr="00BE367F" w14:paraId="22287634" w14:textId="77777777" w:rsidTr="00BE367F">
        <w:trPr>
          <w:trHeight w:val="1024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2F77" w14:textId="67441C1A" w:rsidR="00BE367F" w:rsidRPr="00BE367F" w:rsidRDefault="00BE367F" w:rsidP="00BE367F">
            <w:pPr>
              <w:rPr>
                <w:lang w:val="pt-BR"/>
              </w:rPr>
            </w:pPr>
            <w:r>
              <w:rPr>
                <w:lang w:val="pt-BR"/>
              </w:rPr>
              <w:t>2.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682872" w14:textId="025DA6B3" w:rsidR="00BE367F" w:rsidRPr="00BE367F" w:rsidRDefault="00BE367F" w:rsidP="00BE367F">
            <w:pPr>
              <w:rPr>
                <w:lang w:val="pt-BR"/>
              </w:rPr>
            </w:pPr>
            <w:r w:rsidRPr="00BE367F">
              <w:rPr>
                <w:lang w:val="pt-BR"/>
              </w:rPr>
              <w:t>Taxă de tăiere arbori (doar de pe amplasamentele unor viitoare constructii) reprezentând contravaloarea plantării a cinci arbori în locul unuia tăiat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E44B46" w14:textId="77777777" w:rsidR="00BE367F" w:rsidRPr="00BE367F" w:rsidRDefault="00BE367F" w:rsidP="00BE367F">
            <w:pPr>
              <w:jc w:val="center"/>
            </w:pPr>
            <w:r w:rsidRPr="00BE367F">
              <w:t>500</w:t>
            </w:r>
          </w:p>
        </w:tc>
      </w:tr>
      <w:tr w:rsidR="00BE367F" w:rsidRPr="00BE367F" w14:paraId="49A6FC2A" w14:textId="77777777" w:rsidTr="00BE367F">
        <w:trPr>
          <w:trHeight w:val="507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FBD1B" w14:textId="69ACF651" w:rsidR="00BE367F" w:rsidRPr="00BE367F" w:rsidRDefault="00BE367F" w:rsidP="00BE367F">
            <w:r>
              <w:t>3.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4B5E18" w14:textId="0C157E6D" w:rsidR="00BE367F" w:rsidRPr="00BE367F" w:rsidRDefault="00BE367F" w:rsidP="00BE367F">
            <w:r w:rsidRPr="00BE367F">
              <w:t xml:space="preserve">Preț </w:t>
            </w:r>
            <w:proofErr w:type="spellStart"/>
            <w:r w:rsidRPr="00BE367F">
              <w:t>bilet</w:t>
            </w:r>
            <w:proofErr w:type="spellEnd"/>
            <w:r w:rsidRPr="00BE367F">
              <w:t xml:space="preserve"> </w:t>
            </w:r>
            <w:proofErr w:type="spellStart"/>
            <w:r w:rsidRPr="00BE367F">
              <w:t>trenuleț</w:t>
            </w:r>
            <w:proofErr w:type="spellEnd"/>
            <w:r w:rsidRPr="00BE367F">
              <w:t xml:space="preserve"> </w:t>
            </w:r>
            <w:proofErr w:type="spellStart"/>
            <w:r w:rsidRPr="00BE367F">
              <w:t>agrement</w:t>
            </w:r>
            <w:proofErr w:type="spellEnd"/>
            <w:r w:rsidRPr="00BE367F">
              <w:t xml:space="preserve"> </w:t>
            </w:r>
            <w:proofErr w:type="spellStart"/>
            <w:r w:rsidRPr="00BE367F">
              <w:t>Parcul</w:t>
            </w:r>
            <w:proofErr w:type="spellEnd"/>
            <w:r w:rsidRPr="00BE367F">
              <w:t xml:space="preserve"> Regina Maria</w:t>
            </w:r>
            <w:r>
              <w:t xml:space="preserve"> </w:t>
            </w:r>
            <w:r w:rsidRPr="00BE367F">
              <w:rPr>
                <w:highlight w:val="yellow"/>
              </w:rPr>
              <w:t>***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6570D9" w14:textId="77777777" w:rsidR="00BE367F" w:rsidRPr="00BE367F" w:rsidRDefault="00BE367F" w:rsidP="00BE367F">
            <w:pPr>
              <w:jc w:val="center"/>
            </w:pPr>
            <w:r w:rsidRPr="00BE367F">
              <w:t>5 lei</w:t>
            </w:r>
          </w:p>
        </w:tc>
      </w:tr>
      <w:tr w:rsidR="00BE367F" w:rsidRPr="00BE367F" w14:paraId="430982E0" w14:textId="77777777" w:rsidTr="00BE367F">
        <w:trPr>
          <w:trHeight w:val="51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66609" w14:textId="5F7156DD" w:rsidR="00BE367F" w:rsidRPr="00BE367F" w:rsidRDefault="00BE367F" w:rsidP="00BE367F">
            <w:r>
              <w:t>4.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24AE1A" w14:textId="466DEE59" w:rsidR="00BE367F" w:rsidRPr="00BE367F" w:rsidRDefault="00BE367F" w:rsidP="00BE367F">
            <w:pPr>
              <w:rPr>
                <w:lang w:val="pt-BR"/>
              </w:rPr>
            </w:pPr>
            <w:r w:rsidRPr="00BE367F">
              <w:rPr>
                <w:lang w:val="pt-BR"/>
              </w:rPr>
              <w:t>Taxă închiriere pentru mese comerț stradal ocazional amplasate pe domeniul public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37E2ED" w14:textId="77777777" w:rsidR="00BE367F" w:rsidRPr="00BE367F" w:rsidRDefault="00BE367F" w:rsidP="00BE367F">
            <w:pPr>
              <w:jc w:val="center"/>
            </w:pPr>
            <w:r w:rsidRPr="00BE367F">
              <w:t>50 lei/zi/</w:t>
            </w:r>
            <w:proofErr w:type="spellStart"/>
            <w:r w:rsidRPr="00BE367F">
              <w:t>mp</w:t>
            </w:r>
            <w:proofErr w:type="spellEnd"/>
          </w:p>
        </w:tc>
      </w:tr>
    </w:tbl>
    <w:p w14:paraId="06084C5A" w14:textId="77777777" w:rsidR="00BE367F" w:rsidRPr="00BE367F" w:rsidRDefault="00BE367F" w:rsidP="00BE367F">
      <w:pPr>
        <w:rPr>
          <w:lang w:val="pt-BR"/>
        </w:rPr>
      </w:pPr>
      <w:r w:rsidRPr="00BE367F">
        <w:rPr>
          <w:highlight w:val="yellow"/>
          <w:lang w:val="pt-BR"/>
        </w:rPr>
        <w:t>***</w:t>
      </w:r>
      <w:r w:rsidRPr="00BE367F">
        <w:rPr>
          <w:lang w:val="pt-BR"/>
        </w:rPr>
        <w:t>se propun următoarele facilități gratuite la trenulețul de agrement :</w:t>
      </w:r>
    </w:p>
    <w:p w14:paraId="0765D0E5" w14:textId="231CAF27" w:rsidR="00BE367F" w:rsidRPr="00BE367F" w:rsidRDefault="00BE367F" w:rsidP="00BE367F">
      <w:pPr>
        <w:rPr>
          <w:lang w:val="pt-BR"/>
        </w:rPr>
      </w:pPr>
      <w:r w:rsidRPr="00BE367F">
        <w:rPr>
          <w:lang w:val="pt-BR"/>
        </w:rPr>
        <w:t xml:space="preserve">a). pentru perioada </w:t>
      </w:r>
      <w:r>
        <w:rPr>
          <w:lang w:val="pt-BR"/>
        </w:rPr>
        <w:t>01</w:t>
      </w:r>
      <w:r w:rsidRPr="00BE367F">
        <w:rPr>
          <w:lang w:val="pt-BR"/>
        </w:rPr>
        <w:t xml:space="preserve"> — 30 iunie 2026 se aprobă accesul gratuit pentru copii la trenuletul de agrement din Parcul Municipal ”Regina Maria". Adulții însoțitori vor achita contravaloarea biletului.</w:t>
      </w:r>
    </w:p>
    <w:p w14:paraId="680B9D82" w14:textId="6E8A5EE3" w:rsidR="00BE367F" w:rsidRPr="00BE367F" w:rsidRDefault="00BE367F" w:rsidP="00BE367F">
      <w:pPr>
        <w:rPr>
          <w:lang w:val="pt-BR"/>
        </w:rPr>
      </w:pPr>
      <w:r w:rsidRPr="00BE367F">
        <w:rPr>
          <w:lang w:val="pt-BR"/>
        </w:rPr>
        <w:t xml:space="preserve">b). pentru perioada </w:t>
      </w:r>
      <w:r>
        <w:rPr>
          <w:lang w:val="pt-BR"/>
        </w:rPr>
        <w:t>01</w:t>
      </w:r>
      <w:r w:rsidRPr="00BE367F">
        <w:rPr>
          <w:lang w:val="pt-BR"/>
        </w:rPr>
        <w:t xml:space="preserve"> iulie— 31 decembrie 2026 în intervalul orar 10:00 — 12:00 se aprobă accesul gratuit la trenulețul de agrement din Parcul Municipal ”Regina Maria” pentru copii și adulții care însotesc copiii.</w:t>
      </w:r>
    </w:p>
    <w:p w14:paraId="20A66689" w14:textId="678299C5" w:rsidR="00BE367F" w:rsidRPr="00BE367F" w:rsidRDefault="00BE367F" w:rsidP="00BE367F">
      <w:pPr>
        <w:rPr>
          <w:lang w:val="pt-BR"/>
        </w:rPr>
      </w:pPr>
      <w:r w:rsidRPr="00BE367F">
        <w:rPr>
          <w:lang w:val="pt-BR"/>
        </w:rPr>
        <w:t>c)</w:t>
      </w:r>
      <w:r>
        <w:rPr>
          <w:lang w:val="pt-BR"/>
        </w:rPr>
        <w:t>.</w:t>
      </w:r>
      <w:r w:rsidRPr="00BE367F">
        <w:rPr>
          <w:lang w:val="pt-BR"/>
        </w:rPr>
        <w:t xml:space="preserve"> pe durata anului 2026 se aprobă accesul gratuit la trenulețul de agrement din Parcul Municipal ”Regina Maria” pentru grupurile de elevi din ciclurile de învățământ preșcolar și primar care desfășoară activită</w:t>
      </w:r>
      <w:r w:rsidR="001B4404">
        <w:rPr>
          <w:lang w:val="pt-BR"/>
        </w:rPr>
        <w:t>ți</w:t>
      </w:r>
      <w:r w:rsidRPr="00BE367F">
        <w:rPr>
          <w:lang w:val="pt-BR"/>
        </w:rPr>
        <w:t xml:space="preserve"> extrașcolare, în baza unei solicitări prealabile din pa</w:t>
      </w:r>
      <w:r w:rsidR="001B4404">
        <w:rPr>
          <w:lang w:val="pt-BR"/>
        </w:rPr>
        <w:t>rtea</w:t>
      </w:r>
      <w:r w:rsidRPr="00BE367F">
        <w:rPr>
          <w:lang w:val="pt-BR"/>
        </w:rPr>
        <w:t xml:space="preserve"> unității </w:t>
      </w:r>
      <w:r w:rsidRPr="00BE367F">
        <w:rPr>
          <w:lang w:val="pt-BR"/>
        </w:rPr>
        <w:lastRenderedPageBreak/>
        <w:t>de învățământ adresată către SPA</w:t>
      </w:r>
      <w:r>
        <w:rPr>
          <w:lang w:val="pt-BR"/>
        </w:rPr>
        <w:t>U</w:t>
      </w:r>
      <w:r w:rsidRPr="00BE367F">
        <w:rPr>
          <w:lang w:val="pt-BR"/>
        </w:rPr>
        <w:t xml:space="preserve"> Baia Mare. Adulții înso</w:t>
      </w:r>
      <w:r>
        <w:rPr>
          <w:lang w:val="pt-BR"/>
        </w:rPr>
        <w:t>țitor</w:t>
      </w:r>
      <w:r w:rsidRPr="00BE367F">
        <w:rPr>
          <w:lang w:val="pt-BR"/>
        </w:rPr>
        <w:t>i vor achita contravaloarea biletului.</w:t>
      </w:r>
    </w:p>
    <w:p w14:paraId="69B77F14" w14:textId="77777777" w:rsidR="00264779" w:rsidRPr="00BE367F" w:rsidRDefault="00264779">
      <w:pPr>
        <w:rPr>
          <w:lang w:val="pt-BR"/>
        </w:rPr>
      </w:pPr>
    </w:p>
    <w:sectPr w:rsidR="00264779" w:rsidRPr="00BE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7F"/>
    <w:rsid w:val="001B4404"/>
    <w:rsid w:val="00264779"/>
    <w:rsid w:val="00780EE2"/>
    <w:rsid w:val="00856FB9"/>
    <w:rsid w:val="0096722E"/>
    <w:rsid w:val="00BE367F"/>
    <w:rsid w:val="00C13B7A"/>
    <w:rsid w:val="00CA0C13"/>
    <w:rsid w:val="00DB0CAA"/>
    <w:rsid w:val="00F1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C295"/>
  <w15:chartTrackingRefBased/>
  <w15:docId w15:val="{4EB3AA46-CDBC-4562-9E31-694FED13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6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6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6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6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,</dc:creator>
  <cp:keywords/>
  <dc:description/>
  <cp:lastModifiedBy>Laura ,</cp:lastModifiedBy>
  <cp:revision>3</cp:revision>
  <dcterms:created xsi:type="dcterms:W3CDTF">2025-11-10T08:40:00Z</dcterms:created>
  <dcterms:modified xsi:type="dcterms:W3CDTF">2025-11-10T08:45:00Z</dcterms:modified>
</cp:coreProperties>
</file>