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C4" w:rsidRPr="008030C4" w:rsidRDefault="008030C4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</w:p>
    <w:p w:rsidR="0040737E" w:rsidRPr="008030C4" w:rsidRDefault="0040737E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TWINNING AGREEMENT</w:t>
      </w:r>
    </w:p>
    <w:p w:rsidR="0040737E" w:rsidRPr="008030C4" w:rsidRDefault="0040737E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proofErr w:type="gram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between</w:t>
      </w:r>
      <w:proofErr w:type="gramEnd"/>
    </w:p>
    <w:p w:rsidR="00DF4CD0" w:rsidRPr="008030C4" w:rsidRDefault="0040737E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proofErr w:type="gram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the</w:t>
      </w:r>
      <w:proofErr w:type="gramEnd"/>
      <w:r w:rsidR="00DF4CD0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Municipality of Baia Mare, </w:t>
      </w:r>
      <w:proofErr w:type="spellStart"/>
      <w:r w:rsidR="00DF4CD0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Maramureș</w:t>
      </w:r>
      <w:proofErr w:type="spellEnd"/>
      <w:r w:rsidR="00DF4CD0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County, R</w:t>
      </w:r>
      <w:r w:rsid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OMANIA</w:t>
      </w:r>
    </w:p>
    <w:p w:rsidR="008030C4" w:rsidRDefault="00DF4CD0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proofErr w:type="gram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and</w:t>
      </w:r>
      <w:proofErr w:type="gramEnd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</w:t>
      </w:r>
    </w:p>
    <w:p w:rsidR="00D413ED" w:rsidRPr="008030C4" w:rsidRDefault="00DF4CD0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proofErr w:type="gram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the</w:t>
      </w:r>
      <w:proofErr w:type="gramEnd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D413ED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Polianyts</w:t>
      </w:r>
      <w:r w:rsidR="00204E44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ia</w:t>
      </w:r>
      <w:proofErr w:type="spellEnd"/>
      <w:r w:rsidR="00D413ED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Village Council</w:t>
      </w:r>
      <w:r w:rsidR="00F164FD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,</w:t>
      </w:r>
    </w:p>
    <w:p w:rsidR="00D413ED" w:rsidRDefault="00D413ED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proofErr w:type="spell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Nadvirna</w:t>
      </w:r>
      <w:proofErr w:type="spellEnd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District, </w:t>
      </w:r>
      <w:proofErr w:type="spell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Ivano</w:t>
      </w:r>
      <w:proofErr w:type="spellEnd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-</w:t>
      </w:r>
      <w:proofErr w:type="spellStart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Frankivsk</w:t>
      </w:r>
      <w:proofErr w:type="spellEnd"/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 Region, </w:t>
      </w:r>
      <w:r w:rsid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UKRAINE</w:t>
      </w:r>
    </w:p>
    <w:p w:rsidR="008030C4" w:rsidRPr="008030C4" w:rsidRDefault="008030C4" w:rsidP="008030C4">
      <w:pPr>
        <w:spacing w:after="0"/>
        <w:jc w:val="center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</w:p>
    <w:p w:rsidR="0000302F" w:rsidRPr="008030C4" w:rsidRDefault="0000302F" w:rsidP="008030C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302F" w:rsidRDefault="0000302F" w:rsidP="008030C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8030C4">
        <w:rPr>
          <w:rFonts w:ascii="Times New Roman" w:hAnsi="Times New Roman"/>
          <w:sz w:val="24"/>
          <w:szCs w:val="24"/>
          <w:lang w:val="en-US"/>
        </w:rPr>
        <w:t xml:space="preserve">Considering the friendly relations and cooperation between Romania and Ukraine, based on mutual respect and support in various areas of common interest, the Municipality of Baia Mare, </w:t>
      </w:r>
      <w:proofErr w:type="spellStart"/>
      <w:r w:rsidRPr="008030C4">
        <w:rPr>
          <w:rFonts w:ascii="Times New Roman" w:hAnsi="Times New Roman"/>
          <w:sz w:val="24"/>
          <w:szCs w:val="24"/>
          <w:lang w:val="en-US"/>
        </w:rPr>
        <w:t>Maramureș</w:t>
      </w:r>
      <w:proofErr w:type="spellEnd"/>
      <w:r w:rsidRPr="008030C4">
        <w:rPr>
          <w:rFonts w:ascii="Times New Roman" w:hAnsi="Times New Roman"/>
          <w:sz w:val="24"/>
          <w:szCs w:val="24"/>
          <w:lang w:val="en-US"/>
        </w:rPr>
        <w:t xml:space="preserve"> County, Romania and the </w:t>
      </w:r>
      <w:proofErr w:type="spellStart"/>
      <w:r w:rsidRPr="008030C4">
        <w:rPr>
          <w:rFonts w:ascii="Times New Roman" w:hAnsi="Times New Roman"/>
          <w:sz w:val="24"/>
          <w:szCs w:val="24"/>
          <w:lang w:val="en-US"/>
        </w:rPr>
        <w:t>Polianytsia</w:t>
      </w:r>
      <w:proofErr w:type="spellEnd"/>
      <w:r w:rsidRPr="008030C4">
        <w:rPr>
          <w:rFonts w:ascii="Times New Roman" w:hAnsi="Times New Roman"/>
          <w:sz w:val="24"/>
          <w:szCs w:val="24"/>
          <w:lang w:val="en-US"/>
        </w:rPr>
        <w:t xml:space="preserve"> Village Council of </w:t>
      </w:r>
      <w:proofErr w:type="spellStart"/>
      <w:r w:rsidRPr="008030C4">
        <w:rPr>
          <w:rFonts w:ascii="Times New Roman" w:hAnsi="Times New Roman"/>
          <w:sz w:val="24"/>
          <w:szCs w:val="24"/>
          <w:lang w:val="en-US"/>
        </w:rPr>
        <w:t>Nadvirna</w:t>
      </w:r>
      <w:proofErr w:type="spellEnd"/>
      <w:r w:rsidRPr="008030C4">
        <w:rPr>
          <w:rFonts w:ascii="Times New Roman" w:hAnsi="Times New Roman"/>
          <w:sz w:val="24"/>
          <w:szCs w:val="24"/>
          <w:lang w:val="en-US"/>
        </w:rPr>
        <w:t xml:space="preserve"> District, </w:t>
      </w:r>
      <w:proofErr w:type="spellStart"/>
      <w:r w:rsidRPr="008030C4">
        <w:rPr>
          <w:rFonts w:ascii="Times New Roman" w:hAnsi="Times New Roman"/>
          <w:sz w:val="24"/>
          <w:szCs w:val="24"/>
          <w:lang w:val="en-US"/>
        </w:rPr>
        <w:t>Ivano</w:t>
      </w:r>
      <w:proofErr w:type="spellEnd"/>
      <w:r w:rsidRPr="008030C4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8030C4">
        <w:rPr>
          <w:rFonts w:ascii="Times New Roman" w:hAnsi="Times New Roman"/>
          <w:sz w:val="24"/>
          <w:szCs w:val="24"/>
          <w:lang w:val="en-US"/>
        </w:rPr>
        <w:t>Frankivsk</w:t>
      </w:r>
      <w:proofErr w:type="spellEnd"/>
      <w:r w:rsidRPr="008030C4">
        <w:rPr>
          <w:rFonts w:ascii="Times New Roman" w:hAnsi="Times New Roman"/>
          <w:sz w:val="24"/>
          <w:szCs w:val="24"/>
          <w:lang w:val="en-US"/>
        </w:rPr>
        <w:t xml:space="preserve"> Region, hereinafter collectively referred to as the Parties, have agreed as follows:</w:t>
      </w:r>
    </w:p>
    <w:p w:rsidR="008030C4" w:rsidRPr="008030C4" w:rsidRDefault="008030C4" w:rsidP="008030C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737E" w:rsidRPr="008030C4" w:rsidRDefault="008030C4" w:rsidP="008030C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  <w:t>Article I</w:t>
      </w:r>
    </w:p>
    <w:p w:rsidR="0040737E" w:rsidRDefault="0040737E" w:rsidP="008030C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</w:pPr>
      <w:r w:rsidRPr="008030C4"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  <w:t>Objectives</w:t>
      </w:r>
    </w:p>
    <w:p w:rsidR="008030C4" w:rsidRPr="008030C4" w:rsidRDefault="008030C4" w:rsidP="008030C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</w:pPr>
    </w:p>
    <w:p w:rsidR="00DF4CD0" w:rsidRDefault="00DF4CD0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1. This Agreement </w:t>
      </w:r>
      <w:r w:rsidR="0004456D" w:rsidRPr="008030C4">
        <w:rPr>
          <w:rFonts w:eastAsia="MS Mincho"/>
          <w:lang w:val="en-US" w:eastAsia="ru-RU"/>
        </w:rPr>
        <w:t>establishes the framework for cooperation between the Parties in various areas of common interest.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="MS Mincho"/>
          <w:lang w:val="en-US" w:eastAsia="ru-RU"/>
        </w:rPr>
      </w:pPr>
    </w:p>
    <w:p w:rsidR="00DF4CD0" w:rsidRDefault="0004456D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>2. The Parties will</w:t>
      </w:r>
      <w:r w:rsidR="00DF4CD0" w:rsidRPr="008030C4">
        <w:rPr>
          <w:rFonts w:eastAsia="MS Mincho"/>
          <w:lang w:val="en-US" w:eastAsia="ru-RU"/>
        </w:rPr>
        <w:t xml:space="preserve"> cooperate </w:t>
      </w:r>
      <w:r w:rsidRPr="008030C4">
        <w:rPr>
          <w:rFonts w:eastAsia="MS Mincho"/>
          <w:lang w:val="en-US" w:eastAsia="ru-RU"/>
        </w:rPr>
        <w:t>to support the development of</w:t>
      </w:r>
      <w:r w:rsidR="00DF4CD0" w:rsidRPr="008030C4">
        <w:rPr>
          <w:rFonts w:eastAsia="MS Mincho"/>
          <w:lang w:val="en-US" w:eastAsia="ru-RU"/>
        </w:rPr>
        <w:t xml:space="preserve"> the institutional capacity of local self-government in their administrative-territorial units in order to establish partnerships in various areas of mutual interest for the economic and social development of the local communities they represent.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eastAsia="MS Mincho"/>
          <w:lang w:val="en-US" w:eastAsia="ru-RU"/>
        </w:rPr>
      </w:pPr>
    </w:p>
    <w:p w:rsidR="0085166F" w:rsidRPr="008030C4" w:rsidRDefault="008030C4" w:rsidP="008030C4">
      <w:pPr>
        <w:spacing w:after="0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Article II</w:t>
      </w: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en-US"/>
        </w:rPr>
      </w:pPr>
      <w:r w:rsidRPr="008030C4">
        <w:rPr>
          <w:b/>
          <w:bCs/>
          <w:lang w:val="en-US"/>
        </w:rPr>
        <w:t>Areas of cooperation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en-US"/>
        </w:rPr>
      </w:pP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Based on the principles of cooperation, trust, equality, and mutual benefit, the Parties </w:t>
      </w:r>
      <w:r w:rsidR="0004456D" w:rsidRPr="008030C4">
        <w:rPr>
          <w:rFonts w:eastAsia="MS Mincho"/>
          <w:lang w:val="en-US" w:eastAsia="ru-RU"/>
        </w:rPr>
        <w:t>will</w:t>
      </w:r>
      <w:r w:rsidRPr="008030C4">
        <w:rPr>
          <w:rFonts w:eastAsia="MS Mincho"/>
          <w:lang w:val="en-US" w:eastAsia="ru-RU"/>
        </w:rPr>
        <w:t xml:space="preserve"> develop cooperative relations in the following areas: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˗ </w:t>
      </w:r>
      <w:proofErr w:type="gramStart"/>
      <w:r w:rsidRPr="008030C4">
        <w:rPr>
          <w:rFonts w:eastAsia="MS Mincho"/>
          <w:lang w:val="en-US" w:eastAsia="ru-RU"/>
        </w:rPr>
        <w:t>culture</w:t>
      </w:r>
      <w:proofErr w:type="gramEnd"/>
      <w:r w:rsidRPr="008030C4">
        <w:rPr>
          <w:rFonts w:eastAsia="MS Mincho"/>
          <w:lang w:val="en-US" w:eastAsia="ru-RU"/>
        </w:rPr>
        <w:t xml:space="preserve"> and sports;</w:t>
      </w: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˗ </w:t>
      </w:r>
      <w:proofErr w:type="gramStart"/>
      <w:r w:rsidRPr="008030C4">
        <w:rPr>
          <w:rFonts w:eastAsia="MS Mincho"/>
          <w:lang w:val="en-US" w:eastAsia="ru-RU"/>
        </w:rPr>
        <w:t>economy</w:t>
      </w:r>
      <w:proofErr w:type="gramEnd"/>
      <w:r w:rsidRPr="008030C4">
        <w:rPr>
          <w:rFonts w:eastAsia="MS Mincho"/>
          <w:lang w:val="en-US" w:eastAsia="ru-RU"/>
        </w:rPr>
        <w:t xml:space="preserve"> and tourism;</w:t>
      </w: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˗ </w:t>
      </w:r>
      <w:proofErr w:type="gramStart"/>
      <w:r w:rsidRPr="008030C4">
        <w:rPr>
          <w:rFonts w:eastAsia="MS Mincho"/>
          <w:lang w:val="en-US" w:eastAsia="ru-RU"/>
        </w:rPr>
        <w:t>education</w:t>
      </w:r>
      <w:proofErr w:type="gramEnd"/>
      <w:r w:rsidRPr="008030C4">
        <w:rPr>
          <w:rFonts w:eastAsia="MS Mincho"/>
          <w:lang w:val="en-US" w:eastAsia="ru-RU"/>
        </w:rPr>
        <w:t>;</w:t>
      </w: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˗ </w:t>
      </w:r>
      <w:proofErr w:type="gramStart"/>
      <w:r w:rsidRPr="008030C4">
        <w:rPr>
          <w:rFonts w:eastAsia="MS Mincho"/>
          <w:lang w:val="en-US" w:eastAsia="ru-RU"/>
        </w:rPr>
        <w:t>environment</w:t>
      </w:r>
      <w:proofErr w:type="gramEnd"/>
      <w:r w:rsidRPr="008030C4">
        <w:rPr>
          <w:rFonts w:eastAsia="MS Mincho"/>
          <w:lang w:val="en-US" w:eastAsia="ru-RU"/>
        </w:rPr>
        <w:t xml:space="preserve"> and health care;</w:t>
      </w: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  <w:r w:rsidRPr="008030C4">
        <w:rPr>
          <w:rFonts w:eastAsia="MS Mincho"/>
          <w:lang w:val="en-US" w:eastAsia="ru-RU"/>
        </w:rPr>
        <w:t xml:space="preserve">˗ other areas of cooperation of mutual interest, in accordance with the </w:t>
      </w:r>
      <w:r w:rsidR="0004456D" w:rsidRPr="008030C4">
        <w:rPr>
          <w:rFonts w:eastAsia="MS Mincho"/>
          <w:lang w:val="en-US" w:eastAsia="ru-RU"/>
        </w:rPr>
        <w:t>competences of the Parties, as they are provided by the legislations in force in their countries</w:t>
      </w:r>
      <w:r w:rsidRPr="008030C4">
        <w:rPr>
          <w:rFonts w:eastAsia="MS Mincho"/>
          <w:lang w:val="en-US" w:eastAsia="ru-RU"/>
        </w:rPr>
        <w:t>, which will be the subject of an additional act concluded und</w:t>
      </w:r>
      <w:r w:rsidR="0004456D" w:rsidRPr="008030C4">
        <w:rPr>
          <w:rFonts w:eastAsia="MS Mincho"/>
          <w:lang w:val="en-US" w:eastAsia="ru-RU"/>
        </w:rPr>
        <w:t>er the same conditions as this Twinning A</w:t>
      </w:r>
      <w:r w:rsidRPr="008030C4">
        <w:rPr>
          <w:rFonts w:eastAsia="MS Mincho"/>
          <w:lang w:val="en-US" w:eastAsia="ru-RU"/>
        </w:rPr>
        <w:t>greement</w:t>
      </w:r>
      <w:r w:rsidR="0004456D" w:rsidRPr="008030C4">
        <w:rPr>
          <w:rFonts w:eastAsia="MS Mincho"/>
          <w:lang w:val="en-US" w:eastAsia="ru-RU"/>
        </w:rPr>
        <w:t>.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rFonts w:eastAsia="MS Mincho"/>
          <w:lang w:val="en-US" w:eastAsia="ru-RU"/>
        </w:rPr>
      </w:pPr>
    </w:p>
    <w:p w:rsidR="0085166F" w:rsidRPr="008030C4" w:rsidRDefault="008030C4" w:rsidP="008030C4">
      <w:pPr>
        <w:spacing w:after="0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Article III</w:t>
      </w: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b/>
          <w:lang w:val="en-US"/>
        </w:rPr>
      </w:pPr>
      <w:r w:rsidRPr="008030C4">
        <w:rPr>
          <w:b/>
          <w:lang w:val="en-US"/>
        </w:rPr>
        <w:t>Methods of cooperation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b/>
          <w:lang w:val="en-US"/>
        </w:rPr>
      </w:pPr>
    </w:p>
    <w:p w:rsidR="00DF4CD0" w:rsidRPr="008030C4" w:rsidRDefault="0004456D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t xml:space="preserve">1. </w:t>
      </w:r>
      <w:r w:rsidR="000346D6" w:rsidRPr="008030C4">
        <w:rPr>
          <w:lang w:val="en-US"/>
        </w:rPr>
        <w:t>The cooperation will be carried out in accordance with the competences of the Parties, as provided for by the legislations in force in their countries.</w:t>
      </w:r>
    </w:p>
    <w:p w:rsidR="000346D6" w:rsidRPr="008030C4" w:rsidRDefault="000346D6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t xml:space="preserve">2. In accordance with their specific powers, the Parties </w:t>
      </w:r>
      <w:r w:rsidR="0004456D" w:rsidRPr="008030C4">
        <w:rPr>
          <w:lang w:val="en-US"/>
        </w:rPr>
        <w:t>will</w:t>
      </w:r>
      <w:r w:rsidRPr="008030C4">
        <w:rPr>
          <w:lang w:val="en-US"/>
        </w:rPr>
        <w:t>:</w:t>
      </w: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lastRenderedPageBreak/>
        <w:t>˗ develop relations of friendship and mutual understanding between the residents of the two communities, thereby contributing to their prosperity.</w:t>
      </w: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t>˗ promote the identification and use of opportunities for joint action in the fields of economy, environmental protection, tourism, culture, arts, and education.</w:t>
      </w: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t>˗ support the organization of exchanges of experience and best practices between delegations of experts and representatives of local self-government, as well as develop joint projects in the fields of economy, society, environmental protection, tourism, culture, arts, and education, organizing joint events (festivals, exhibitions, sports competitions, etc.).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</w:p>
    <w:p w:rsidR="0085166F" w:rsidRPr="008030C4" w:rsidRDefault="0085166F" w:rsidP="008030C4">
      <w:pPr>
        <w:spacing w:after="0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Article 4</w:t>
      </w:r>
    </w:p>
    <w:p w:rsidR="0085166F" w:rsidRDefault="0085166F" w:rsidP="008030C4">
      <w:pPr>
        <w:spacing w:after="0"/>
        <w:jc w:val="both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Financial Aspects</w:t>
      </w:r>
    </w:p>
    <w:p w:rsidR="008030C4" w:rsidRPr="008030C4" w:rsidRDefault="008030C4" w:rsidP="008030C4">
      <w:pPr>
        <w:spacing w:after="0"/>
        <w:jc w:val="both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</w:p>
    <w:p w:rsidR="00A71BC6" w:rsidRDefault="0004456D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>The Parties will</w:t>
      </w:r>
      <w:r w:rsidR="00A71BC6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bear the costs incurred in the implementation of this Agreement in accordance with the national legislation of the Parties.</w:t>
      </w:r>
    </w:p>
    <w:p w:rsidR="008030C4" w:rsidRPr="008030C4" w:rsidRDefault="008030C4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85166F" w:rsidRPr="008030C4" w:rsidRDefault="0085166F" w:rsidP="008030C4">
      <w:pPr>
        <w:spacing w:after="0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Article 5</w:t>
      </w:r>
    </w:p>
    <w:p w:rsidR="009314D1" w:rsidRDefault="009314D1" w:rsidP="008030C4">
      <w:pPr>
        <w:spacing w:after="0"/>
        <w:jc w:val="both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Coordination of cooperation activities</w:t>
      </w:r>
    </w:p>
    <w:p w:rsidR="008030C4" w:rsidRPr="008030C4" w:rsidRDefault="008030C4" w:rsidP="008030C4">
      <w:pPr>
        <w:spacing w:after="0"/>
        <w:jc w:val="both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</w:p>
    <w:p w:rsidR="009314D1" w:rsidRDefault="009314D1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Each Party </w:t>
      </w:r>
      <w:r w:rsidR="0004456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will </w:t>
      </w:r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appoint a coordinator to oversee the effective implementation of this Agreement. The coordinators appointed by the Parties </w:t>
      </w:r>
      <w:r w:rsidR="0004456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>will</w:t>
      </w:r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develop an implementation plan and propose additional activities that may be carried out by both Parties.</w:t>
      </w:r>
    </w:p>
    <w:p w:rsidR="008030C4" w:rsidRPr="008030C4" w:rsidRDefault="008030C4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85166F" w:rsidRPr="008030C4" w:rsidRDefault="0085166F" w:rsidP="008030C4">
      <w:pPr>
        <w:spacing w:after="0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Article 6</w:t>
      </w:r>
    </w:p>
    <w:p w:rsidR="00DF4CD0" w:rsidRDefault="00DF4CD0" w:rsidP="008030C4">
      <w:pPr>
        <w:spacing w:after="0"/>
        <w:jc w:val="both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Amendments to the Agreement </w:t>
      </w:r>
    </w:p>
    <w:p w:rsidR="008030C4" w:rsidRPr="008030C4" w:rsidRDefault="008030C4" w:rsidP="008030C4">
      <w:pPr>
        <w:spacing w:after="0"/>
        <w:jc w:val="both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t xml:space="preserve">1. Amendments and/or additions to this Agreement </w:t>
      </w:r>
      <w:r w:rsidR="0004456D" w:rsidRPr="008030C4">
        <w:rPr>
          <w:lang w:val="en-US"/>
        </w:rPr>
        <w:t>will</w:t>
      </w:r>
      <w:r w:rsidRPr="008030C4">
        <w:rPr>
          <w:lang w:val="en-US"/>
        </w:rPr>
        <w:t xml:space="preserve"> be made only by mutual written agreement of the Parties and </w:t>
      </w:r>
      <w:r w:rsidR="0004456D" w:rsidRPr="008030C4">
        <w:rPr>
          <w:lang w:val="en-US"/>
        </w:rPr>
        <w:t>will</w:t>
      </w:r>
      <w:r w:rsidRPr="008030C4">
        <w:rPr>
          <w:lang w:val="en-US"/>
        </w:rPr>
        <w:t xml:space="preserve"> be formalized by additional agreements, which </w:t>
      </w:r>
      <w:r w:rsidR="0004456D" w:rsidRPr="008030C4">
        <w:rPr>
          <w:lang w:val="en-US"/>
        </w:rPr>
        <w:t>will</w:t>
      </w:r>
      <w:r w:rsidRPr="008030C4">
        <w:rPr>
          <w:lang w:val="en-US"/>
        </w:rPr>
        <w:t xml:space="preserve"> form an integral part of this Agreement.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  <w:r w:rsidRPr="008030C4">
        <w:rPr>
          <w:lang w:val="en-US"/>
        </w:rPr>
        <w:t xml:space="preserve">2. Amendments and/or additions </w:t>
      </w:r>
      <w:r w:rsidR="0004456D" w:rsidRPr="008030C4">
        <w:rPr>
          <w:lang w:val="en-US"/>
        </w:rPr>
        <w:t>will</w:t>
      </w:r>
      <w:r w:rsidRPr="008030C4">
        <w:rPr>
          <w:lang w:val="en-US"/>
        </w:rPr>
        <w:t xml:space="preserve"> be made in the same manner as the conclusion of the Agreement and </w:t>
      </w:r>
      <w:r w:rsidR="0004456D" w:rsidRPr="008030C4">
        <w:rPr>
          <w:lang w:val="en-US"/>
        </w:rPr>
        <w:t>will</w:t>
      </w:r>
      <w:r w:rsidRPr="008030C4">
        <w:rPr>
          <w:lang w:val="en-US"/>
        </w:rPr>
        <w:t xml:space="preserve"> </w:t>
      </w:r>
      <w:r w:rsidR="000346D6" w:rsidRPr="008030C4">
        <w:rPr>
          <w:lang w:val="en-US"/>
        </w:rPr>
        <w:t xml:space="preserve">come into effect </w:t>
      </w:r>
      <w:r w:rsidRPr="008030C4">
        <w:rPr>
          <w:lang w:val="en-US"/>
        </w:rPr>
        <w:t>on the date of signature by both Parties.</w:t>
      </w:r>
    </w:p>
    <w:p w:rsid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lang w:val="en-US"/>
        </w:rPr>
      </w:pPr>
    </w:p>
    <w:p w:rsidR="00D413ED" w:rsidRPr="008030C4" w:rsidRDefault="00D413ED" w:rsidP="008030C4">
      <w:pPr>
        <w:spacing w:after="0"/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</w:pPr>
      <w:r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 xml:space="preserve">Article </w:t>
      </w:r>
      <w:r w:rsidR="009314D1" w:rsidRPr="008030C4">
        <w:rPr>
          <w:rFonts w:ascii="Times New Roman" w:eastAsia="MS Mincho" w:hAnsi="Times New Roman"/>
          <w:b/>
          <w:bCs/>
          <w:sz w:val="24"/>
          <w:szCs w:val="24"/>
          <w:lang w:val="en-US" w:eastAsia="ru-RU"/>
        </w:rPr>
        <w:t>7</w:t>
      </w:r>
    </w:p>
    <w:p w:rsidR="00DF4CD0" w:rsidRDefault="00DF4CD0" w:rsidP="008030C4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en-US"/>
        </w:rPr>
      </w:pPr>
      <w:r w:rsidRPr="008030C4">
        <w:rPr>
          <w:b/>
          <w:bCs/>
          <w:lang w:val="en-US"/>
        </w:rPr>
        <w:t>Implementation, term and termination</w:t>
      </w: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en-US"/>
        </w:rPr>
      </w:pP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 w:rsidRPr="008030C4">
        <w:rPr>
          <w:lang w:val="en-US"/>
        </w:rPr>
        <w:t xml:space="preserve">1. This Agreement </w:t>
      </w:r>
      <w:r w:rsidR="0004456D" w:rsidRPr="008030C4">
        <w:rPr>
          <w:lang w:val="en-US"/>
        </w:rPr>
        <w:t xml:space="preserve">will </w:t>
      </w:r>
      <w:r w:rsidR="00072DFE" w:rsidRPr="008030C4">
        <w:rPr>
          <w:lang w:val="en-US"/>
        </w:rPr>
        <w:t>be concluded for an indefinite period of time and it comes into effect on the date of signature by both Parties.</w:t>
      </w:r>
    </w:p>
    <w:p w:rsidR="00072DFE" w:rsidRPr="008030C4" w:rsidRDefault="00072DFE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</w:p>
    <w:p w:rsidR="00072DFE" w:rsidRPr="008030C4" w:rsidRDefault="00DF4CD0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 w:rsidRPr="008030C4">
        <w:rPr>
          <w:lang w:val="en-US"/>
        </w:rPr>
        <w:t xml:space="preserve">2. </w:t>
      </w:r>
      <w:r w:rsidR="00072DFE" w:rsidRPr="008030C4">
        <w:rPr>
          <w:lang w:val="en-US"/>
        </w:rPr>
        <w:t>Any differences regarding the interpretation or the application of this Agreement will be settled amicably by direct negotiations between the Parties.</w:t>
      </w:r>
    </w:p>
    <w:p w:rsidR="00DF4CD0" w:rsidRPr="008030C4" w:rsidRDefault="00072DFE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 w:rsidRPr="008030C4">
        <w:rPr>
          <w:lang w:val="en-US"/>
        </w:rPr>
        <w:t xml:space="preserve"> </w:t>
      </w:r>
    </w:p>
    <w:p w:rsidR="00DF4CD0" w:rsidRPr="008030C4" w:rsidRDefault="00DF4CD0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 w:rsidRPr="008030C4">
        <w:rPr>
          <w:lang w:val="en-US"/>
        </w:rPr>
        <w:t xml:space="preserve">3. </w:t>
      </w:r>
      <w:r w:rsidR="00072DFE" w:rsidRPr="008030C4">
        <w:rPr>
          <w:lang w:val="en-US"/>
        </w:rPr>
        <w:t>Each Party may terminate the Agreement by written notification addressed to the other Party.</w:t>
      </w:r>
    </w:p>
    <w:p w:rsidR="00DF4CD0" w:rsidRDefault="00DF4CD0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 w:rsidRPr="008030C4">
        <w:rPr>
          <w:lang w:val="en-US"/>
        </w:rPr>
        <w:t xml:space="preserve">4. </w:t>
      </w:r>
      <w:r w:rsidR="00072DFE" w:rsidRPr="008030C4">
        <w:rPr>
          <w:lang w:val="en-US"/>
        </w:rPr>
        <w:t>The termination will come into effect three months from the date of notification.</w:t>
      </w:r>
    </w:p>
    <w:p w:rsidR="008030C4" w:rsidRDefault="008030C4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</w:p>
    <w:p w:rsidR="008030C4" w:rsidRDefault="008030C4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</w:p>
    <w:p w:rsidR="008030C4" w:rsidRPr="008030C4" w:rsidRDefault="008030C4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</w:p>
    <w:p w:rsidR="00072DFE" w:rsidRPr="008030C4" w:rsidRDefault="00072DFE" w:rsidP="008030C4">
      <w:pPr>
        <w:pStyle w:val="NormalWeb"/>
        <w:spacing w:before="0" w:beforeAutospacing="0" w:after="0" w:afterAutospacing="0" w:line="276" w:lineRule="auto"/>
        <w:ind w:firstLine="708"/>
        <w:jc w:val="both"/>
        <w:rPr>
          <w:lang w:val="en-US"/>
        </w:rPr>
      </w:pPr>
    </w:p>
    <w:p w:rsidR="008030C4" w:rsidRDefault="008030C4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40737E" w:rsidRDefault="00072DFE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  <w:proofErr w:type="gramStart"/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>Signed in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</w:t>
      </w:r>
      <w:r w:rsidR="008030C4">
        <w:rPr>
          <w:rFonts w:ascii="Times New Roman" w:eastAsia="MS Mincho" w:hAnsi="Times New Roman"/>
          <w:sz w:val="24"/>
          <w:szCs w:val="24"/>
          <w:lang w:val="en-US" w:eastAsia="ru-RU"/>
        </w:rPr>
        <w:t>________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on “</w:t>
      </w:r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>__” ______ ___, in two original copies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, </w:t>
      </w:r>
      <w:r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each 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in the Romanian, Ukrainian, and English languages, all texts </w:t>
      </w:r>
      <w:proofErr w:type="spellStart"/>
      <w:r w:rsidR="0063549B" w:rsidRPr="008030C4">
        <w:rPr>
          <w:rFonts w:ascii="Times New Roman" w:eastAsia="MS Mincho" w:hAnsi="Times New Roman"/>
          <w:sz w:val="24"/>
          <w:szCs w:val="24"/>
          <w:lang w:val="en-US" w:eastAsia="ru-RU"/>
        </w:rPr>
        <w:t>b</w:t>
      </w:r>
      <w:r w:rsidR="0063549B">
        <w:rPr>
          <w:rFonts w:ascii="Times New Roman" w:eastAsia="MS Mincho" w:hAnsi="Times New Roman"/>
          <w:sz w:val="24"/>
          <w:szCs w:val="24"/>
          <w:lang w:val="en-US" w:eastAsia="ru-RU"/>
        </w:rPr>
        <w:t>e</w:t>
      </w:r>
      <w:r w:rsidR="0063549B" w:rsidRPr="008030C4">
        <w:rPr>
          <w:rFonts w:ascii="Times New Roman" w:eastAsia="MS Mincho" w:hAnsi="Times New Roman"/>
          <w:sz w:val="24"/>
          <w:szCs w:val="24"/>
          <w:lang w:val="en-US" w:eastAsia="ru-RU"/>
        </w:rPr>
        <w:t>eing</w:t>
      </w:r>
      <w:proofErr w:type="spellEnd"/>
      <w:r w:rsidR="008030C4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equally valid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>.</w:t>
      </w:r>
      <w:proofErr w:type="gramEnd"/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In case of any d</w:t>
      </w:r>
      <w:r w:rsidR="008030C4" w:rsidRPr="008030C4">
        <w:rPr>
          <w:rFonts w:ascii="Times New Roman" w:eastAsia="MS Mincho" w:hAnsi="Times New Roman"/>
          <w:sz w:val="24"/>
          <w:szCs w:val="24"/>
          <w:lang w:val="en-US" w:eastAsia="ru-RU"/>
        </w:rPr>
        <w:t>ifferences of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interpretation, the English text </w:t>
      </w:r>
      <w:r w:rsidR="0004456D" w:rsidRPr="008030C4">
        <w:rPr>
          <w:rFonts w:ascii="Times New Roman" w:hAnsi="Times New Roman"/>
          <w:sz w:val="24"/>
          <w:szCs w:val="24"/>
          <w:lang w:val="en-US"/>
        </w:rPr>
        <w:t>will</w:t>
      </w:r>
      <w:r w:rsidR="00D413ED" w:rsidRPr="008030C4">
        <w:rPr>
          <w:rFonts w:ascii="Times New Roman" w:eastAsia="MS Mincho" w:hAnsi="Times New Roman"/>
          <w:sz w:val="24"/>
          <w:szCs w:val="24"/>
          <w:lang w:val="en-US" w:eastAsia="ru-RU"/>
        </w:rPr>
        <w:t xml:space="preserve"> prevail.</w:t>
      </w:r>
    </w:p>
    <w:p w:rsidR="008030C4" w:rsidRPr="008030C4" w:rsidRDefault="008030C4" w:rsidP="008030C4">
      <w:pPr>
        <w:spacing w:after="0"/>
        <w:ind w:firstLine="708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p w:rsidR="00204E44" w:rsidRPr="008030C4" w:rsidRDefault="00204E44" w:rsidP="008030C4">
      <w:pPr>
        <w:spacing w:after="0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204E44" w:rsidRPr="008030C4" w:rsidTr="00204E44">
        <w:tc>
          <w:tcPr>
            <w:tcW w:w="4814" w:type="dxa"/>
          </w:tcPr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For</w:t>
            </w:r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Municipality of Baia Mare,</w:t>
            </w:r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 xml:space="preserve">Maramures County, </w:t>
            </w:r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 xml:space="preserve">Romania </w:t>
            </w:r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>Mayor</w:t>
            </w:r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 xml:space="preserve">Ioan </w:t>
            </w:r>
            <w:proofErr w:type="spellStart"/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>Doru</w:t>
            </w:r>
            <w:proofErr w:type="spellEnd"/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>Dăncuș</w:t>
            </w:r>
            <w:proofErr w:type="spellEnd"/>
          </w:p>
          <w:p w:rsidR="00204E44" w:rsidRPr="008030C4" w:rsidRDefault="00204E44" w:rsidP="008030C4">
            <w:p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5" w:type="dxa"/>
          </w:tcPr>
          <w:p w:rsidR="00F164FD" w:rsidRPr="008030C4" w:rsidRDefault="00F164FD" w:rsidP="008030C4">
            <w:pPr>
              <w:spacing w:after="0"/>
              <w:jc w:val="right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For</w:t>
            </w:r>
          </w:p>
          <w:p w:rsidR="00F164FD" w:rsidRPr="008030C4" w:rsidRDefault="00F164FD" w:rsidP="008030C4">
            <w:pPr>
              <w:spacing w:after="0"/>
              <w:jc w:val="right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Polianytsia</w:t>
            </w:r>
            <w:proofErr w:type="spellEnd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 xml:space="preserve"> Village Council</w:t>
            </w:r>
          </w:p>
          <w:p w:rsidR="00F164FD" w:rsidRPr="008030C4" w:rsidRDefault="00F164FD" w:rsidP="008030C4">
            <w:pPr>
              <w:spacing w:after="0"/>
              <w:jc w:val="right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Nadvirna</w:t>
            </w:r>
            <w:proofErr w:type="spellEnd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 xml:space="preserve"> District,</w:t>
            </w:r>
            <w:r w:rsidR="008030C4"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Ivano</w:t>
            </w:r>
            <w:proofErr w:type="spellEnd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Frankivsk</w:t>
            </w:r>
            <w:proofErr w:type="spellEnd"/>
            <w:r w:rsidRPr="008030C4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 xml:space="preserve"> Region, Ukraine</w:t>
            </w:r>
          </w:p>
          <w:p w:rsidR="00F164FD" w:rsidRPr="008030C4" w:rsidRDefault="00F164FD" w:rsidP="008030C4">
            <w:pPr>
              <w:spacing w:after="0"/>
              <w:jc w:val="right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</w:p>
          <w:p w:rsidR="00F164FD" w:rsidRPr="008030C4" w:rsidRDefault="00F164FD" w:rsidP="008030C4">
            <w:pPr>
              <w:spacing w:after="0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>Head of the Village Council</w:t>
            </w:r>
          </w:p>
          <w:p w:rsidR="00204E44" w:rsidRPr="008030C4" w:rsidRDefault="00F164FD" w:rsidP="008030C4">
            <w:pPr>
              <w:spacing w:after="0"/>
              <w:jc w:val="right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>Mykola</w:t>
            </w:r>
            <w:proofErr w:type="spellEnd"/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30C4"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 w:eastAsia="ru-RU"/>
              </w:rPr>
              <w:t>Poliak</w:t>
            </w:r>
            <w:proofErr w:type="spellEnd"/>
          </w:p>
        </w:tc>
      </w:tr>
    </w:tbl>
    <w:p w:rsidR="00204E44" w:rsidRPr="008030C4" w:rsidRDefault="00204E44" w:rsidP="008030C4">
      <w:pPr>
        <w:spacing w:after="0"/>
        <w:jc w:val="both"/>
        <w:rPr>
          <w:rFonts w:ascii="Times New Roman" w:eastAsia="MS Mincho" w:hAnsi="Times New Roman"/>
          <w:sz w:val="24"/>
          <w:szCs w:val="24"/>
          <w:lang w:val="en-US" w:eastAsia="ru-RU"/>
        </w:rPr>
      </w:pPr>
    </w:p>
    <w:sectPr w:rsidR="00204E44" w:rsidRPr="008030C4" w:rsidSect="00BD4C8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63B" w:rsidRDefault="0021563B" w:rsidP="008030C4">
      <w:pPr>
        <w:spacing w:after="0" w:line="240" w:lineRule="auto"/>
      </w:pPr>
      <w:r>
        <w:separator/>
      </w:r>
    </w:p>
  </w:endnote>
  <w:endnote w:type="continuationSeparator" w:id="0">
    <w:p w:rsidR="0021563B" w:rsidRDefault="0021563B" w:rsidP="0080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63B" w:rsidRDefault="0021563B" w:rsidP="008030C4">
      <w:pPr>
        <w:spacing w:after="0" w:line="240" w:lineRule="auto"/>
      </w:pPr>
      <w:r>
        <w:separator/>
      </w:r>
    </w:p>
  </w:footnote>
  <w:footnote w:type="continuationSeparator" w:id="0">
    <w:p w:rsidR="0021563B" w:rsidRDefault="0021563B" w:rsidP="0080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C4" w:rsidRPr="008030C4" w:rsidRDefault="008030C4" w:rsidP="008030C4">
    <w:pPr>
      <w:pStyle w:val="Header"/>
      <w:jc w:val="right"/>
      <w:rPr>
        <w:rFonts w:ascii="Times New Roman" w:hAnsi="Times New Roman"/>
        <w:b/>
        <w:sz w:val="24"/>
        <w:szCs w:val="24"/>
        <w:lang w:val="ro-RO"/>
      </w:rPr>
    </w:pPr>
    <w:r>
      <w:rPr>
        <w:lang w:val="ro-RO"/>
      </w:rPr>
      <w:tab/>
    </w:r>
    <w:r w:rsidRPr="008030C4">
      <w:rPr>
        <w:rFonts w:ascii="Times New Roman" w:hAnsi="Times New Roman"/>
        <w:b/>
        <w:sz w:val="24"/>
        <w:szCs w:val="24"/>
        <w:lang w:val="ro-RO"/>
      </w:rPr>
      <w:t>ANNEX 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C71"/>
    <w:multiLevelType w:val="hybridMultilevel"/>
    <w:tmpl w:val="E0665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B4932"/>
    <w:multiLevelType w:val="hybridMultilevel"/>
    <w:tmpl w:val="9668A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01813"/>
    <w:multiLevelType w:val="hybridMultilevel"/>
    <w:tmpl w:val="AA8A082E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10B7866"/>
    <w:multiLevelType w:val="hybridMultilevel"/>
    <w:tmpl w:val="8BCEEE3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10E"/>
    <w:rsid w:val="0000302F"/>
    <w:rsid w:val="000346D6"/>
    <w:rsid w:val="0004456D"/>
    <w:rsid w:val="00072DFE"/>
    <w:rsid w:val="000A1737"/>
    <w:rsid w:val="000F76D3"/>
    <w:rsid w:val="00204E44"/>
    <w:rsid w:val="0021563B"/>
    <w:rsid w:val="002768B2"/>
    <w:rsid w:val="002A4B50"/>
    <w:rsid w:val="0034649A"/>
    <w:rsid w:val="00360DF9"/>
    <w:rsid w:val="00375ED5"/>
    <w:rsid w:val="0040737E"/>
    <w:rsid w:val="00414209"/>
    <w:rsid w:val="00500EAD"/>
    <w:rsid w:val="005B4927"/>
    <w:rsid w:val="005C4D5C"/>
    <w:rsid w:val="0063549B"/>
    <w:rsid w:val="006C0FC1"/>
    <w:rsid w:val="006D57DD"/>
    <w:rsid w:val="00704159"/>
    <w:rsid w:val="00713845"/>
    <w:rsid w:val="00727FCB"/>
    <w:rsid w:val="0074492F"/>
    <w:rsid w:val="007D1467"/>
    <w:rsid w:val="008030C4"/>
    <w:rsid w:val="00804278"/>
    <w:rsid w:val="0085166F"/>
    <w:rsid w:val="008F110E"/>
    <w:rsid w:val="009314D1"/>
    <w:rsid w:val="00931928"/>
    <w:rsid w:val="00A13E19"/>
    <w:rsid w:val="00A71BC6"/>
    <w:rsid w:val="00AB27B3"/>
    <w:rsid w:val="00BD2D36"/>
    <w:rsid w:val="00BD4C8A"/>
    <w:rsid w:val="00CB1B0C"/>
    <w:rsid w:val="00D37399"/>
    <w:rsid w:val="00D413ED"/>
    <w:rsid w:val="00DF4CD0"/>
    <w:rsid w:val="00E1172F"/>
    <w:rsid w:val="00E41822"/>
    <w:rsid w:val="00E65480"/>
    <w:rsid w:val="00E77AB6"/>
    <w:rsid w:val="00EA10A2"/>
    <w:rsid w:val="00EE79CE"/>
    <w:rsid w:val="00F164FD"/>
    <w:rsid w:val="00F50339"/>
    <w:rsid w:val="00F956BB"/>
    <w:rsid w:val="00FC4299"/>
    <w:rsid w:val="00FD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7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0C"/>
    <w:rPr>
      <w:rFonts w:ascii="Segoe UI" w:eastAsia="Calibr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A13E19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72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073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4073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0C4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80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0C4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F618-83E9-401B-9F7C-24BB43FC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Windows User</cp:lastModifiedBy>
  <cp:revision>8</cp:revision>
  <cp:lastPrinted>2026-01-14T12:08:00Z</cp:lastPrinted>
  <dcterms:created xsi:type="dcterms:W3CDTF">2026-01-19T12:45:00Z</dcterms:created>
  <dcterms:modified xsi:type="dcterms:W3CDTF">2026-02-17T10:57:00Z</dcterms:modified>
</cp:coreProperties>
</file>